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3C95" w14:textId="77777777" w:rsidR="002D3BAF" w:rsidRDefault="002D3BAF" w:rsidP="002D3BAF">
      <w:pPr>
        <w:spacing w:before="0"/>
      </w:pPr>
    </w:p>
    <w:p w14:paraId="431DE9B5" w14:textId="3F93759B" w:rsidR="002D3BAF" w:rsidRDefault="002D3BAF" w:rsidP="002D3BAF">
      <w:pPr>
        <w:spacing w:before="0"/>
        <w:rPr>
          <w:b/>
        </w:rPr>
      </w:pPr>
      <w:r>
        <w:rPr>
          <w:b/>
        </w:rPr>
        <w:t>Uitgifte geliberaliseerde pachtgrond</w:t>
      </w:r>
      <w:r w:rsidR="001A0E3D">
        <w:rPr>
          <w:b/>
        </w:rPr>
        <w:t xml:space="preserve"> 202</w:t>
      </w:r>
      <w:r w:rsidR="005950AF">
        <w:rPr>
          <w:b/>
        </w:rPr>
        <w:t>6</w:t>
      </w:r>
    </w:p>
    <w:p w14:paraId="6D9BACD4" w14:textId="77777777" w:rsidR="00822657" w:rsidRDefault="00822657" w:rsidP="002D3BAF">
      <w:pPr>
        <w:spacing w:before="0"/>
        <w:rPr>
          <w:b/>
        </w:rPr>
      </w:pPr>
    </w:p>
    <w:p w14:paraId="08422653" w14:textId="5995C180" w:rsidR="002D3BAF" w:rsidRDefault="002D3BAF" w:rsidP="002D3BAF">
      <w:pPr>
        <w:spacing w:before="0"/>
      </w:pPr>
      <w:r>
        <w:t>In dit document worden de voorwaarden, procedure en uitzonderingen voor de uitgifte van geliberaliseerde pachtovereenkomst vastgelegd.</w:t>
      </w:r>
    </w:p>
    <w:p w14:paraId="6CC4E171" w14:textId="77777777" w:rsidR="002D3BAF" w:rsidRDefault="002D3BAF" w:rsidP="002D3BAF">
      <w:pPr>
        <w:spacing w:before="0"/>
      </w:pPr>
    </w:p>
    <w:p w14:paraId="58099B18" w14:textId="77777777" w:rsidR="002D3BAF" w:rsidRDefault="0045556E" w:rsidP="005663A8">
      <w:pPr>
        <w:pStyle w:val="Lijstalinea"/>
        <w:numPr>
          <w:ilvl w:val="0"/>
          <w:numId w:val="3"/>
        </w:numPr>
        <w:spacing w:before="0"/>
        <w:rPr>
          <w:b/>
        </w:rPr>
      </w:pPr>
      <w:r w:rsidRPr="005663A8">
        <w:rPr>
          <w:b/>
        </w:rPr>
        <w:t>Inschrijvingsvoorwaarden</w:t>
      </w:r>
    </w:p>
    <w:p w14:paraId="038FC90E" w14:textId="77777777" w:rsidR="005663A8" w:rsidRPr="005663A8" w:rsidRDefault="005663A8" w:rsidP="005663A8">
      <w:pPr>
        <w:pStyle w:val="Lijstalinea"/>
        <w:spacing w:before="0"/>
        <w:rPr>
          <w:b/>
        </w:rPr>
      </w:pPr>
    </w:p>
    <w:p w14:paraId="3E20CFB0" w14:textId="77777777" w:rsidR="0045556E" w:rsidRPr="005663A8" w:rsidRDefault="0045556E" w:rsidP="005663A8">
      <w:pPr>
        <w:spacing w:before="0"/>
        <w:rPr>
          <w:i/>
        </w:rPr>
      </w:pPr>
      <w:r w:rsidRPr="005663A8">
        <w:rPr>
          <w:i/>
        </w:rPr>
        <w:t>Artikel 1. Algemeen</w:t>
      </w:r>
    </w:p>
    <w:p w14:paraId="0BCC7639" w14:textId="5F44FA48" w:rsidR="0045556E" w:rsidRDefault="0045556E" w:rsidP="0045556E">
      <w:pPr>
        <w:pStyle w:val="Lijstalinea"/>
        <w:numPr>
          <w:ilvl w:val="0"/>
          <w:numId w:val="2"/>
        </w:numPr>
        <w:spacing w:before="0"/>
      </w:pPr>
      <w:r>
        <w:t>Verpachting vindt alleen plaats aan agrarische ondernemers</w:t>
      </w:r>
      <w:r w:rsidR="007337B7">
        <w:t xml:space="preserve"> (akkerbouw, veehouderij en tuinbouw</w:t>
      </w:r>
      <w:r w:rsidR="004254D5">
        <w:t>)</w:t>
      </w:r>
      <w:r>
        <w:t xml:space="preserve"> die zi</w:t>
      </w:r>
      <w:r w:rsidR="00D97A85">
        <w:t>j</w:t>
      </w:r>
      <w:r>
        <w:t>n ingeschreven bij de Kamer van Koophandel en in het bezit zijn van een relatienummer (BRS) bij RVO.</w:t>
      </w:r>
    </w:p>
    <w:p w14:paraId="3DE00FAC" w14:textId="77777777" w:rsidR="005663A8" w:rsidRDefault="005663A8" w:rsidP="005663A8">
      <w:pPr>
        <w:pStyle w:val="Lijstalinea"/>
        <w:spacing w:before="0"/>
      </w:pPr>
      <w:r>
        <w:t xml:space="preserve">Inschrijver dient deze gegevens bij de inschrijving te vermelden, alsook </w:t>
      </w:r>
      <w:r w:rsidRPr="008657DF">
        <w:rPr>
          <w:b/>
          <w:bCs/>
        </w:rPr>
        <w:t>een uittreksel uit</w:t>
      </w:r>
      <w:r>
        <w:t xml:space="preserve"> </w:t>
      </w:r>
      <w:r w:rsidRPr="008657DF">
        <w:rPr>
          <w:b/>
          <w:bCs/>
        </w:rPr>
        <w:t>het handelsregister van de Kamer van Koophandel toe te voegen</w:t>
      </w:r>
      <w:r>
        <w:t>.</w:t>
      </w:r>
    </w:p>
    <w:p w14:paraId="57C5FE58" w14:textId="75D114BA" w:rsidR="005663A8" w:rsidRDefault="005663A8" w:rsidP="005663A8">
      <w:pPr>
        <w:pStyle w:val="Lijstalinea"/>
        <w:numPr>
          <w:ilvl w:val="0"/>
          <w:numId w:val="2"/>
        </w:numPr>
        <w:spacing w:before="0"/>
      </w:pPr>
      <w:r>
        <w:t xml:space="preserve">De aanvrager dient bedrijfsmatig de </w:t>
      </w:r>
      <w:r w:rsidRPr="004831B8">
        <w:rPr>
          <w:b/>
          <w:bCs/>
        </w:rPr>
        <w:t>landbouw</w:t>
      </w:r>
      <w:r>
        <w:t xml:space="preserve"> te beoefenen (art: 7:312 BW);</w:t>
      </w:r>
    </w:p>
    <w:p w14:paraId="7EA394A9" w14:textId="00F4860E" w:rsidR="00327838" w:rsidRDefault="005663A8" w:rsidP="005663A8">
      <w:pPr>
        <w:pStyle w:val="Lijstalinea"/>
        <w:spacing w:before="0"/>
      </w:pPr>
      <w:r>
        <w:t>De pachtgrond moet bedrijfsmatig geëxploiteerd worden en het hoofdberoep van de pachter moet in de landbouw uitgevoerd worden.</w:t>
      </w:r>
    </w:p>
    <w:p w14:paraId="69872EA7" w14:textId="64E6910D" w:rsidR="0059575B" w:rsidRDefault="00E54623" w:rsidP="0059575B">
      <w:pPr>
        <w:pStyle w:val="Lijstalinea"/>
        <w:numPr>
          <w:ilvl w:val="0"/>
          <w:numId w:val="2"/>
        </w:numPr>
        <w:spacing w:before="0"/>
      </w:pPr>
      <w:r>
        <w:t xml:space="preserve">De aanvrager dient </w:t>
      </w:r>
      <w:r w:rsidRPr="007B2742">
        <w:rPr>
          <w:b/>
          <w:bCs/>
        </w:rPr>
        <w:t>binnen een straal van 20 km</w:t>
      </w:r>
      <w:r>
        <w:t xml:space="preserve"> van</w:t>
      </w:r>
      <w:r w:rsidR="006145E1">
        <w:t xml:space="preserve"> het</w:t>
      </w:r>
      <w:r>
        <w:t xml:space="preserve"> uit te geven</w:t>
      </w:r>
      <w:r w:rsidR="006145E1">
        <w:t xml:space="preserve"> object</w:t>
      </w:r>
      <w:r>
        <w:t xml:space="preserve"> te wonen.</w:t>
      </w:r>
      <w:r w:rsidR="006145E1">
        <w:t xml:space="preserve"> Voldoet geen enkele inschrijver aan deze voorwaarde dan wordt </w:t>
      </w:r>
      <w:r w:rsidR="007B2742">
        <w:t xml:space="preserve">de afstand telkens met 10 km verhoogd, tot er minimaal 1 inschrijver binnen de dan bepaalde afstand woont. Als er  meerdere inschrijvers zijn, wordt het object gegund aan de hoogstbiedende. </w:t>
      </w:r>
      <w:r w:rsidR="0059575B">
        <w:t xml:space="preserve"> </w:t>
      </w:r>
    </w:p>
    <w:p w14:paraId="3F454D00" w14:textId="77777777" w:rsidR="00E54623" w:rsidRDefault="00E54623" w:rsidP="00E54623">
      <w:pPr>
        <w:pStyle w:val="Lijstalinea"/>
        <w:numPr>
          <w:ilvl w:val="0"/>
          <w:numId w:val="2"/>
        </w:numPr>
        <w:spacing w:before="0"/>
      </w:pPr>
      <w:r>
        <w:t>Een inschrijver die niet aan bovenstaande vereisten voldoet wordt van deelneming aan de procedure uitgesloten.</w:t>
      </w:r>
    </w:p>
    <w:p w14:paraId="4898CEF9" w14:textId="77777777" w:rsidR="00E54623" w:rsidRDefault="00E54623" w:rsidP="00E54623">
      <w:pPr>
        <w:pStyle w:val="Lijstalinea"/>
        <w:numPr>
          <w:ilvl w:val="0"/>
          <w:numId w:val="2"/>
        </w:numPr>
        <w:spacing w:before="0"/>
      </w:pPr>
      <w:r>
        <w:t>Indien er wordt ingeschreven door meerder personen of in geval van combinatie dient ten minste één van de inschrijvers aan bovenstaande eis te voldoen.</w:t>
      </w:r>
    </w:p>
    <w:p w14:paraId="2DA03171" w14:textId="77777777" w:rsidR="00E020F7" w:rsidRDefault="00E020F7" w:rsidP="00794B56">
      <w:pPr>
        <w:spacing w:before="0"/>
        <w:ind w:left="360"/>
      </w:pPr>
    </w:p>
    <w:p w14:paraId="16C4EB25" w14:textId="77777777" w:rsidR="005663A8" w:rsidRDefault="005663A8" w:rsidP="005663A8">
      <w:pPr>
        <w:spacing w:before="0"/>
      </w:pPr>
    </w:p>
    <w:p w14:paraId="1B7D9F0C" w14:textId="77777777" w:rsidR="005663A8" w:rsidRDefault="005663A8" w:rsidP="005663A8">
      <w:pPr>
        <w:spacing w:before="0"/>
        <w:rPr>
          <w:i/>
        </w:rPr>
      </w:pPr>
      <w:r w:rsidRPr="005663A8">
        <w:rPr>
          <w:i/>
        </w:rPr>
        <w:t>Artikel 2 Inschrijvingsformulier</w:t>
      </w:r>
    </w:p>
    <w:p w14:paraId="3D4B471B" w14:textId="77777777" w:rsidR="005663A8" w:rsidRDefault="00697216" w:rsidP="00697216">
      <w:pPr>
        <w:pStyle w:val="Lijstalinea"/>
        <w:numPr>
          <w:ilvl w:val="0"/>
          <w:numId w:val="4"/>
        </w:numPr>
        <w:spacing w:before="0"/>
      </w:pPr>
      <w:r>
        <w:t>Een inschrijver vult het beschikbare inschrijvingsformulier in.</w:t>
      </w:r>
    </w:p>
    <w:p w14:paraId="0BF3B60C" w14:textId="77777777" w:rsidR="00697216" w:rsidRDefault="00697216" w:rsidP="00697216">
      <w:pPr>
        <w:pStyle w:val="Lijstalinea"/>
        <w:numPr>
          <w:ilvl w:val="0"/>
          <w:numId w:val="4"/>
        </w:numPr>
        <w:spacing w:before="0"/>
      </w:pPr>
      <w:r>
        <w:t xml:space="preserve">Met het inschrijvingsformulier dient een </w:t>
      </w:r>
      <w:r w:rsidRPr="008657DF">
        <w:rPr>
          <w:b/>
          <w:bCs/>
        </w:rPr>
        <w:t>kopie van een geldig legitimatiebewijs</w:t>
      </w:r>
      <w:r>
        <w:t xml:space="preserve"> van de bieder te worden overlegd.</w:t>
      </w:r>
    </w:p>
    <w:p w14:paraId="1F9B98AB" w14:textId="77777777" w:rsidR="00AD73CB" w:rsidRDefault="00AD73CB" w:rsidP="00697216">
      <w:pPr>
        <w:pStyle w:val="Lijstalinea"/>
        <w:numPr>
          <w:ilvl w:val="0"/>
          <w:numId w:val="4"/>
        </w:numPr>
        <w:spacing w:before="0"/>
      </w:pPr>
      <w:r>
        <w:t>Aan de inschrijving kunnen door de inschrijver geen voorwaarden verbonden worden, en ook geen voorbehoud gemaakt worden inzake financiering, vergunningen of milieukundige bepalingen e.d. Gegadigden dienen zich hieromtrent van tevoren te informeren.</w:t>
      </w:r>
    </w:p>
    <w:p w14:paraId="2F3C9557" w14:textId="77777777" w:rsidR="00697216" w:rsidRDefault="00697216" w:rsidP="00697216">
      <w:pPr>
        <w:pStyle w:val="Lijstalinea"/>
        <w:numPr>
          <w:ilvl w:val="0"/>
          <w:numId w:val="4"/>
        </w:numPr>
        <w:spacing w:before="0"/>
      </w:pPr>
      <w:r>
        <w:t>Inschrijvingen met hetzelfde adres worden gezien als één inschrijving.</w:t>
      </w:r>
    </w:p>
    <w:p w14:paraId="4239ED71" w14:textId="77777777" w:rsidR="00697216" w:rsidRDefault="00697216" w:rsidP="00697216">
      <w:pPr>
        <w:pStyle w:val="Lijstalinea"/>
        <w:numPr>
          <w:ilvl w:val="0"/>
          <w:numId w:val="4"/>
        </w:numPr>
        <w:spacing w:before="0"/>
      </w:pPr>
      <w:r>
        <w:t>De gemeente behoudt zich het recht voor om aanvullende gegevens van de inschrijver te verlangen.</w:t>
      </w:r>
    </w:p>
    <w:p w14:paraId="4356E2CA" w14:textId="77777777" w:rsidR="00697216" w:rsidRPr="008657DF" w:rsidRDefault="00697216" w:rsidP="00697216">
      <w:pPr>
        <w:pStyle w:val="Lijstalinea"/>
        <w:numPr>
          <w:ilvl w:val="0"/>
          <w:numId w:val="4"/>
        </w:numPr>
        <w:spacing w:before="0"/>
        <w:rPr>
          <w:b/>
          <w:bCs/>
        </w:rPr>
      </w:pPr>
      <w:r w:rsidRPr="008657DF">
        <w:rPr>
          <w:b/>
          <w:bCs/>
        </w:rPr>
        <w:t>Inschrijfformulieren die te laat worden ontvangen, onvolledig zijn ingevuld of waar de gevraagde bijlagen niet of niet volledig zijn bijgevoegd, worden niet in behandeling genomen.</w:t>
      </w:r>
    </w:p>
    <w:p w14:paraId="774737F2" w14:textId="3918B453" w:rsidR="00AD73CB" w:rsidRDefault="00ED024F" w:rsidP="00AD73CB">
      <w:pPr>
        <w:pStyle w:val="Lijstalinea"/>
        <w:numPr>
          <w:ilvl w:val="0"/>
          <w:numId w:val="4"/>
        </w:numPr>
        <w:spacing w:before="0"/>
      </w:pPr>
      <w:r>
        <w:t>Inschr</w:t>
      </w:r>
      <w:r w:rsidR="00A22E1A">
        <w:t>ijven gaat door middel van het inschrijfformulier</w:t>
      </w:r>
      <w:r w:rsidR="004254D5">
        <w:t>.</w:t>
      </w:r>
      <w:r w:rsidR="00A22E1A" w:rsidRPr="00ED024F">
        <w:rPr>
          <w:color w:val="FF0000"/>
        </w:rPr>
        <w:t xml:space="preserve"> </w:t>
      </w:r>
      <w:r w:rsidR="00A22E1A">
        <w:t xml:space="preserve">Inschrijvingen die na </w:t>
      </w:r>
      <w:r w:rsidR="00B93C76" w:rsidRPr="00B93C76">
        <w:rPr>
          <w:b/>
          <w:bCs/>
        </w:rPr>
        <w:t>19 januari</w:t>
      </w:r>
      <w:r w:rsidR="00B93C76">
        <w:t xml:space="preserve"> </w:t>
      </w:r>
      <w:r w:rsidRPr="00ED024F">
        <w:rPr>
          <w:b/>
          <w:bCs/>
        </w:rPr>
        <w:t>202</w:t>
      </w:r>
      <w:r w:rsidR="00952934">
        <w:rPr>
          <w:b/>
          <w:bCs/>
        </w:rPr>
        <w:t>6</w:t>
      </w:r>
      <w:r w:rsidR="00A22E1A">
        <w:t xml:space="preserve"> binnenkomen, worden niet in behandeling genomen. </w:t>
      </w:r>
    </w:p>
    <w:p w14:paraId="023A3395" w14:textId="77777777" w:rsidR="00697216" w:rsidRDefault="00697216" w:rsidP="00697216">
      <w:pPr>
        <w:spacing w:before="0"/>
        <w:ind w:left="360"/>
      </w:pPr>
    </w:p>
    <w:p w14:paraId="0DD98791" w14:textId="77777777" w:rsidR="007E79C3" w:rsidRDefault="00676D4D" w:rsidP="00697216">
      <w:pPr>
        <w:spacing w:before="0"/>
        <w:ind w:left="360"/>
        <w:rPr>
          <w:i/>
        </w:rPr>
      </w:pPr>
      <w:r>
        <w:rPr>
          <w:i/>
        </w:rPr>
        <w:t>Artikel 3 Toewijzing</w:t>
      </w:r>
    </w:p>
    <w:p w14:paraId="6D326E23" w14:textId="77777777" w:rsidR="007E79C3" w:rsidRPr="007E79C3" w:rsidRDefault="007E79C3" w:rsidP="007E79C3">
      <w:pPr>
        <w:pStyle w:val="Lijstalinea"/>
        <w:numPr>
          <w:ilvl w:val="0"/>
          <w:numId w:val="5"/>
        </w:numPr>
        <w:spacing w:before="0"/>
      </w:pPr>
      <w:r>
        <w:t>Alleen marktconforme biedingen worden in behandeling genomen</w:t>
      </w:r>
    </w:p>
    <w:p w14:paraId="42B828DB" w14:textId="77777777" w:rsidR="00AD73CB" w:rsidRDefault="00AD73CB" w:rsidP="00676D4D">
      <w:pPr>
        <w:pStyle w:val="Lijstalinea"/>
        <w:numPr>
          <w:ilvl w:val="0"/>
          <w:numId w:val="5"/>
        </w:numPr>
        <w:spacing w:before="0"/>
      </w:pPr>
      <w:r>
        <w:t>Verpachting zal geschieden aan de hoogstbiedende inschrijving/inschrijver voor de gehele kavel.</w:t>
      </w:r>
    </w:p>
    <w:p w14:paraId="2E042204" w14:textId="77777777" w:rsidR="00AD73CB" w:rsidRDefault="00AD73CB" w:rsidP="00AD73CB">
      <w:pPr>
        <w:pStyle w:val="Lijstalinea"/>
        <w:numPr>
          <w:ilvl w:val="0"/>
          <w:numId w:val="5"/>
        </w:numPr>
        <w:spacing w:before="0"/>
      </w:pPr>
      <w:r>
        <w:t xml:space="preserve">Een bod moet altijd worden uitgedrukt in totale euro’s per kavel, dus niet per hectare, in een absoluut geval, bijvoorbeeld € 1.000,00. Biedingen zoals “€ 100,00 boven het hoogste bod” zijn </w:t>
      </w:r>
      <w:r w:rsidRPr="00AD73CB">
        <w:rPr>
          <w:u w:val="single"/>
        </w:rPr>
        <w:t>NIET</w:t>
      </w:r>
      <w:r>
        <w:t xml:space="preserve"> geldig.</w:t>
      </w:r>
    </w:p>
    <w:p w14:paraId="6F99BFBA" w14:textId="77777777" w:rsidR="001C6482" w:rsidRPr="001C6482" w:rsidRDefault="001C6482" w:rsidP="00AD73CB">
      <w:pPr>
        <w:pStyle w:val="Lijstalinea"/>
        <w:numPr>
          <w:ilvl w:val="0"/>
          <w:numId w:val="5"/>
        </w:numPr>
        <w:spacing w:before="0"/>
      </w:pPr>
      <w:r w:rsidRPr="001C6482">
        <w:t>Bij gelijke inschrijving zal de gunning via loting plaatsvinden. De inschrijvers waarvoor loting plaats zal vinden worden uitgenodigd hierbij aanwezig te zijn.</w:t>
      </w:r>
    </w:p>
    <w:p w14:paraId="785D3F53" w14:textId="77777777" w:rsidR="00AD73CB" w:rsidRPr="00476C44" w:rsidRDefault="00AD73CB" w:rsidP="001C6482">
      <w:pPr>
        <w:pStyle w:val="Lijstalinea"/>
        <w:numPr>
          <w:ilvl w:val="0"/>
          <w:numId w:val="5"/>
        </w:numPr>
        <w:spacing w:before="0"/>
      </w:pPr>
      <w:r w:rsidRPr="001C6482">
        <w:lastRenderedPageBreak/>
        <w:t xml:space="preserve">Alleen van de hoogste inschrijving wordt de naam van de inschrijver en het bedrag per kavel bekend gemaakt. </w:t>
      </w:r>
    </w:p>
    <w:p w14:paraId="10700150" w14:textId="77777777" w:rsidR="00676D4D" w:rsidRDefault="00676D4D" w:rsidP="00676D4D">
      <w:pPr>
        <w:pStyle w:val="Lijstalinea"/>
        <w:numPr>
          <w:ilvl w:val="0"/>
          <w:numId w:val="5"/>
        </w:numPr>
        <w:spacing w:before="0"/>
      </w:pPr>
      <w:r>
        <w:t xml:space="preserve">Alle inschrijvers </w:t>
      </w:r>
      <w:r w:rsidR="0079505F">
        <w:t>ontvangen bericht zo spoedig mogelijk na het verstrijken van de inschrijftermijn.</w:t>
      </w:r>
    </w:p>
    <w:p w14:paraId="33EF19E7" w14:textId="77777777" w:rsidR="00F87ED3" w:rsidRDefault="00F87ED3" w:rsidP="00676D4D">
      <w:pPr>
        <w:pStyle w:val="Lijstalinea"/>
        <w:numPr>
          <w:ilvl w:val="0"/>
          <w:numId w:val="5"/>
        </w:numPr>
        <w:spacing w:before="0"/>
      </w:pPr>
      <w:r>
        <w:t xml:space="preserve">De verpachter behoudt zich het recht voor een toets in het kader van de wet </w:t>
      </w:r>
      <w:proofErr w:type="spellStart"/>
      <w:r>
        <w:t>Bibob</w:t>
      </w:r>
      <w:proofErr w:type="spellEnd"/>
      <w:r>
        <w:t xml:space="preserve"> te laten uitvoeren op de inschrijving.</w:t>
      </w:r>
    </w:p>
    <w:p w14:paraId="76C18376" w14:textId="77777777" w:rsidR="00AD73CB" w:rsidRDefault="00AD73CB" w:rsidP="00676D4D">
      <w:pPr>
        <w:pStyle w:val="Lijstalinea"/>
        <w:numPr>
          <w:ilvl w:val="0"/>
          <w:numId w:val="5"/>
        </w:numPr>
        <w:spacing w:before="0"/>
      </w:pPr>
      <w:r>
        <w:t>Pachter is zelf verantwoordelijk voor het tijdig informeren naar eventuele voorwaarden uit een bestemmingsplan of andere regelgeving die het gebruik van het gepachte kunnen beperken.</w:t>
      </w:r>
    </w:p>
    <w:p w14:paraId="78DD502F" w14:textId="77777777" w:rsidR="00AD73CB" w:rsidRDefault="00AD73CB" w:rsidP="00676D4D">
      <w:pPr>
        <w:pStyle w:val="Lijstalinea"/>
        <w:numPr>
          <w:ilvl w:val="0"/>
          <w:numId w:val="5"/>
        </w:numPr>
        <w:spacing w:before="0"/>
      </w:pPr>
      <w:r>
        <w:t>Aan de tekening kunnen t.a.v. de maatvoering geen rechten worden ontleend.</w:t>
      </w:r>
    </w:p>
    <w:p w14:paraId="5D5A00E6" w14:textId="77777777" w:rsidR="00F87ED3" w:rsidRDefault="00F87ED3" w:rsidP="00F87ED3">
      <w:pPr>
        <w:spacing w:before="0"/>
        <w:ind w:left="360"/>
      </w:pPr>
    </w:p>
    <w:p w14:paraId="60E17210" w14:textId="77777777" w:rsidR="00F87ED3" w:rsidRDefault="00F87ED3" w:rsidP="00F87ED3">
      <w:pPr>
        <w:spacing w:before="0"/>
        <w:ind w:left="360"/>
        <w:rPr>
          <w:i/>
        </w:rPr>
      </w:pPr>
      <w:r>
        <w:rPr>
          <w:i/>
        </w:rPr>
        <w:t>Artikel 4 Pachtovereenkomst</w:t>
      </w:r>
    </w:p>
    <w:p w14:paraId="43E1A8FA" w14:textId="77777777" w:rsidR="00F87ED3" w:rsidRDefault="00F87ED3" w:rsidP="00F87ED3">
      <w:pPr>
        <w:pStyle w:val="Lijstalinea"/>
        <w:numPr>
          <w:ilvl w:val="0"/>
          <w:numId w:val="6"/>
        </w:numPr>
        <w:spacing w:before="0"/>
      </w:pPr>
      <w:r>
        <w:t>De inschrijver verplicht zich om na toewijzing medewerking te verlenen aan de schriftelijke vastlegging van de pachtovereenkomst.</w:t>
      </w:r>
    </w:p>
    <w:p w14:paraId="431C5E81" w14:textId="77777777" w:rsidR="00F87ED3" w:rsidRDefault="00F87ED3" w:rsidP="00F87ED3">
      <w:pPr>
        <w:pStyle w:val="Lijstalinea"/>
        <w:numPr>
          <w:ilvl w:val="0"/>
          <w:numId w:val="6"/>
        </w:numPr>
        <w:spacing w:before="0"/>
      </w:pPr>
      <w:r>
        <w:t>Zonder voorafgaande schriftelijke toestemming van de verpachter is het niet toegestaan om het pachtobject geheel of gedeeltelijk aan anderen in pacht of gebruik af te staan of toe te laten.</w:t>
      </w:r>
    </w:p>
    <w:p w14:paraId="326252FB" w14:textId="77777777" w:rsidR="00F87ED3" w:rsidRDefault="00F87ED3" w:rsidP="00F87ED3">
      <w:pPr>
        <w:pStyle w:val="Lijstalinea"/>
        <w:numPr>
          <w:ilvl w:val="0"/>
          <w:numId w:val="6"/>
        </w:numPr>
        <w:spacing w:before="0"/>
      </w:pPr>
      <w:r>
        <w:t>De eventuele kosten van de Grondkamer komen voor rekening van de pachter.</w:t>
      </w:r>
    </w:p>
    <w:p w14:paraId="0116320B" w14:textId="77777777" w:rsidR="00092152" w:rsidRDefault="00092152" w:rsidP="00F87ED3">
      <w:pPr>
        <w:pStyle w:val="Lijstalinea"/>
        <w:numPr>
          <w:ilvl w:val="0"/>
          <w:numId w:val="6"/>
        </w:numPr>
        <w:spacing w:before="0"/>
      </w:pPr>
      <w:r>
        <w:t>Deze voorwaarden en bepalingen zijn van toepassing op de inschrijving, met uitsluiting van eigen voorwaarden van inschrijver.</w:t>
      </w:r>
    </w:p>
    <w:p w14:paraId="4B8A6EB7" w14:textId="77777777" w:rsidR="00092152" w:rsidRPr="00FC1505" w:rsidRDefault="00092152" w:rsidP="00F87ED3">
      <w:pPr>
        <w:pStyle w:val="Lijstalinea"/>
        <w:numPr>
          <w:ilvl w:val="0"/>
          <w:numId w:val="6"/>
        </w:numPr>
        <w:spacing w:before="0"/>
      </w:pPr>
      <w:r>
        <w:t>Verpachting geschiedt onder voorwaarden en bepalingen zoals in dit document en in de bijgevoegde mo</w:t>
      </w:r>
      <w:r w:rsidR="00B77D2E">
        <w:t xml:space="preserve">delovereenkomst zijn beschreven, met uitsluiting van eigen voorwaarden </w:t>
      </w:r>
      <w:r w:rsidR="00B77D2E" w:rsidRPr="00FC1505">
        <w:t>van inschrijver.</w:t>
      </w:r>
    </w:p>
    <w:p w14:paraId="18C64E75" w14:textId="289E0630" w:rsidR="00092152" w:rsidRPr="00FC1505" w:rsidRDefault="00092152" w:rsidP="00F87ED3">
      <w:pPr>
        <w:pStyle w:val="Lijstalinea"/>
        <w:numPr>
          <w:ilvl w:val="0"/>
          <w:numId w:val="6"/>
        </w:numPr>
        <w:spacing w:before="0"/>
      </w:pPr>
      <w:r w:rsidRPr="00FC1505">
        <w:t xml:space="preserve">Binnen </w:t>
      </w:r>
      <w:r w:rsidR="00B55341" w:rsidRPr="00FC1505">
        <w:t>4</w:t>
      </w:r>
      <w:r w:rsidRPr="00FC1505">
        <w:t xml:space="preserve"> weken na gunning ontvangt pachter een pachtovereenkomst. Deze dient uiterlijk </w:t>
      </w:r>
      <w:r w:rsidR="005678EF">
        <w:t>binnen 2 weken na verzending</w:t>
      </w:r>
      <w:r w:rsidR="00B55341" w:rsidRPr="00FC1505">
        <w:rPr>
          <w:b/>
        </w:rPr>
        <w:t xml:space="preserve"> </w:t>
      </w:r>
      <w:r w:rsidRPr="00FC1505">
        <w:t>getekend retour</w:t>
      </w:r>
      <w:r w:rsidR="005678EF">
        <w:t xml:space="preserve"> gestuurd te worden.</w:t>
      </w:r>
    </w:p>
    <w:p w14:paraId="0ABC93A2" w14:textId="5D8813CF" w:rsidR="00092152" w:rsidRPr="00FC1505" w:rsidRDefault="00092152" w:rsidP="00F87ED3">
      <w:pPr>
        <w:pStyle w:val="Lijstalinea"/>
        <w:numPr>
          <w:ilvl w:val="0"/>
          <w:numId w:val="6"/>
        </w:numPr>
        <w:spacing w:before="0"/>
      </w:pPr>
      <w:r w:rsidRPr="00FC1505">
        <w:t xml:space="preserve">De overeenkomst wordt aangegaan </w:t>
      </w:r>
      <w:r w:rsidR="00C96CD8">
        <w:t>tot en met 31 december 202</w:t>
      </w:r>
      <w:r w:rsidR="00781692">
        <w:t>6</w:t>
      </w:r>
      <w:r w:rsidRPr="00FC1505">
        <w:t>.</w:t>
      </w:r>
    </w:p>
    <w:p w14:paraId="7F785902" w14:textId="77777777" w:rsidR="00092152" w:rsidRPr="00244E2C" w:rsidRDefault="00092152" w:rsidP="00F87ED3">
      <w:pPr>
        <w:pStyle w:val="Lijstalinea"/>
        <w:numPr>
          <w:ilvl w:val="0"/>
          <w:numId w:val="6"/>
        </w:numPr>
        <w:spacing w:before="0"/>
      </w:pPr>
      <w:r w:rsidRPr="00244E2C">
        <w:t xml:space="preserve">Het </w:t>
      </w:r>
      <w:r w:rsidR="00C470D0" w:rsidRPr="00244E2C">
        <w:t>aflopen van de overeenkomst geeft geen recht op vergoeding of compensatie in welke vorm dan ook.</w:t>
      </w:r>
    </w:p>
    <w:p w14:paraId="46FB938B" w14:textId="77777777" w:rsidR="00C470D0" w:rsidRPr="00244E2C" w:rsidRDefault="00C470D0" w:rsidP="00F87ED3">
      <w:pPr>
        <w:pStyle w:val="Lijstalinea"/>
        <w:numPr>
          <w:ilvl w:val="0"/>
          <w:numId w:val="6"/>
        </w:numPr>
        <w:spacing w:before="0"/>
      </w:pPr>
      <w:r w:rsidRPr="00244E2C">
        <w:t xml:space="preserve">Inschrijver dient bij de bepaling van de inschrijfsom ervan uit </w:t>
      </w:r>
      <w:r w:rsidR="0008781E">
        <w:t>d</w:t>
      </w:r>
      <w:r w:rsidRPr="00244E2C">
        <w:t>e gaan dat de grond zonder bijbehorende rechten ( toeslag- of fosfaatrechten) verpacht wordt.</w:t>
      </w:r>
    </w:p>
    <w:p w14:paraId="3C58120A" w14:textId="77777777" w:rsidR="00F87ED3" w:rsidRDefault="00C470D0" w:rsidP="00F87ED3">
      <w:pPr>
        <w:pStyle w:val="Lijstalinea"/>
        <w:numPr>
          <w:ilvl w:val="0"/>
          <w:numId w:val="6"/>
        </w:numPr>
        <w:spacing w:before="0"/>
      </w:pPr>
      <w:r w:rsidRPr="00244E2C">
        <w:t>Indien er geen afrastering aanwezig is op het perceel/de percelen, dient pachter, indien gewenst, zelf zorg te dragen voor deze afrastering. Van tevoren vindt er overleg plaats met de gemeente over het plaatsen en de locatie van de afrastering.</w:t>
      </w:r>
    </w:p>
    <w:p w14:paraId="19B8DB9B" w14:textId="77777777" w:rsidR="00822657" w:rsidRDefault="00822657" w:rsidP="00F87ED3">
      <w:pPr>
        <w:spacing w:before="0"/>
      </w:pPr>
    </w:p>
    <w:p w14:paraId="63CD9835" w14:textId="77777777" w:rsidR="00A8079A" w:rsidRDefault="00A8079A" w:rsidP="00A8079A">
      <w:pPr>
        <w:pStyle w:val="Lijstalinea"/>
        <w:numPr>
          <w:ilvl w:val="0"/>
          <w:numId w:val="3"/>
        </w:numPr>
        <w:spacing w:before="0"/>
        <w:rPr>
          <w:b/>
        </w:rPr>
      </w:pPr>
      <w:r>
        <w:rPr>
          <w:b/>
        </w:rPr>
        <w:t>Procedure uitgifte</w:t>
      </w:r>
    </w:p>
    <w:p w14:paraId="61550D5B" w14:textId="103449F3" w:rsidR="00A8079A" w:rsidRDefault="00244E2C" w:rsidP="00244E2C">
      <w:pPr>
        <w:spacing w:before="0"/>
        <w:ind w:left="360"/>
      </w:pPr>
      <w:r>
        <w:t xml:space="preserve">De </w:t>
      </w:r>
      <w:r w:rsidR="001F08F5">
        <w:t>kavel</w:t>
      </w:r>
      <w:r w:rsidR="0029330B">
        <w:t>s</w:t>
      </w:r>
      <w:r w:rsidR="001F08F5">
        <w:t xml:space="preserve"> word</w:t>
      </w:r>
      <w:r w:rsidR="0029330B">
        <w:t>en</w:t>
      </w:r>
      <w:r w:rsidR="001F08F5">
        <w:t xml:space="preserve"> </w:t>
      </w:r>
      <w:r w:rsidR="001F08F5" w:rsidRPr="00F47AF6">
        <w:rPr>
          <w:b/>
        </w:rPr>
        <w:t>vanaf</w:t>
      </w:r>
      <w:r w:rsidR="00BD6A89">
        <w:rPr>
          <w:b/>
        </w:rPr>
        <w:t xml:space="preserve"> </w:t>
      </w:r>
      <w:r w:rsidR="00B93C76">
        <w:rPr>
          <w:b/>
        </w:rPr>
        <w:t>23</w:t>
      </w:r>
      <w:r w:rsidR="00781692">
        <w:rPr>
          <w:b/>
        </w:rPr>
        <w:t xml:space="preserve"> december</w:t>
      </w:r>
      <w:r w:rsidR="001F08F5" w:rsidRPr="00F47AF6">
        <w:rPr>
          <w:b/>
        </w:rPr>
        <w:t xml:space="preserve"> </w:t>
      </w:r>
      <w:r w:rsidR="001C528D">
        <w:rPr>
          <w:b/>
        </w:rPr>
        <w:t>202</w:t>
      </w:r>
      <w:r w:rsidR="005A3E96">
        <w:rPr>
          <w:b/>
        </w:rPr>
        <w:t>5</w:t>
      </w:r>
      <w:r>
        <w:t xml:space="preserve"> aangeboden via </w:t>
      </w:r>
      <w:r w:rsidR="00EE555D">
        <w:t xml:space="preserve">een publicatie in het Montferland Journaal </w:t>
      </w:r>
      <w:r w:rsidR="005F032E">
        <w:t>en op de website</w:t>
      </w:r>
      <w:r>
        <w:t xml:space="preserve"> </w:t>
      </w:r>
      <w:hyperlink r:id="rId8" w:history="1">
        <w:r w:rsidR="0029330B" w:rsidRPr="006815CA">
          <w:rPr>
            <w:rStyle w:val="Hyperlink"/>
          </w:rPr>
          <w:t>www.montferland.info/uitgifte-onroerend-goed</w:t>
        </w:r>
      </w:hyperlink>
      <w:r w:rsidR="00F47AF6">
        <w:rPr>
          <w:rStyle w:val="Hyperlink"/>
        </w:rPr>
        <w:t>.</w:t>
      </w:r>
      <w:r>
        <w:t xml:space="preserve"> De benodigde informatie en inschrijfformulieren zijn hier te downloaden.</w:t>
      </w:r>
    </w:p>
    <w:p w14:paraId="16EE4FAD" w14:textId="77777777" w:rsidR="00244E2C" w:rsidRDefault="00244E2C" w:rsidP="00244E2C">
      <w:pPr>
        <w:spacing w:before="0"/>
        <w:ind w:left="360"/>
      </w:pPr>
    </w:p>
    <w:p w14:paraId="4F735DBD" w14:textId="77777777" w:rsidR="00A8079A" w:rsidRDefault="00406463" w:rsidP="00406463">
      <w:pPr>
        <w:pStyle w:val="Lijstalinea"/>
        <w:numPr>
          <w:ilvl w:val="0"/>
          <w:numId w:val="3"/>
        </w:numPr>
        <w:spacing w:before="0"/>
        <w:rPr>
          <w:b/>
        </w:rPr>
      </w:pPr>
      <w:r>
        <w:rPr>
          <w:b/>
        </w:rPr>
        <w:t>Bijzondere gevallen</w:t>
      </w:r>
    </w:p>
    <w:p w14:paraId="17DFF6DA" w14:textId="77777777" w:rsidR="00406463" w:rsidRDefault="00406463" w:rsidP="00406463">
      <w:pPr>
        <w:spacing w:before="0"/>
        <w:ind w:left="360"/>
      </w:pPr>
      <w:r>
        <w:t xml:space="preserve">In bijzondere gevallen heeft de gemeente de mogelijkheid om af te wijken van deze wijze van uitgifte, de gebruikelijke duur van de verpachting </w:t>
      </w:r>
      <w:r w:rsidR="001A0E3D">
        <w:t>of de hoogte van de pachtprijs.</w:t>
      </w:r>
    </w:p>
    <w:p w14:paraId="060DBED9" w14:textId="77777777" w:rsidR="00406463" w:rsidRDefault="00406463" w:rsidP="00406463">
      <w:pPr>
        <w:spacing w:before="0"/>
        <w:ind w:left="360"/>
      </w:pPr>
    </w:p>
    <w:p w14:paraId="585F4068" w14:textId="77777777" w:rsidR="0059575B" w:rsidRPr="0059575B" w:rsidRDefault="0059575B" w:rsidP="0059575B">
      <w:pPr>
        <w:pStyle w:val="Lijstalinea"/>
        <w:numPr>
          <w:ilvl w:val="0"/>
          <w:numId w:val="3"/>
        </w:numPr>
        <w:spacing w:before="0"/>
        <w:rPr>
          <w:b/>
        </w:rPr>
      </w:pPr>
      <w:r w:rsidRPr="0059575B">
        <w:rPr>
          <w:b/>
        </w:rPr>
        <w:t>Voorbehoud verpachting</w:t>
      </w:r>
    </w:p>
    <w:p w14:paraId="5936AAC0" w14:textId="77777777" w:rsidR="0059575B" w:rsidRDefault="0059575B" w:rsidP="0059575B">
      <w:pPr>
        <w:spacing w:before="0"/>
        <w:ind w:left="360"/>
      </w:pPr>
      <w:r>
        <w:t xml:space="preserve">Uit de uitnodiging tot het doen van een inschrijving zoals neergelegd in dit beschrijvend document vloeien voor de gemeente Montferland geen verplichtingen voort. Gemeente Montferland behoudt zich het recht voor op ieder moment deze procedure geheel of gedeeltelijk, tijdelijk of definitief te stoppen of om aan het eind niet tot verpachting over te gaan, zonder nadere opgaaf van redenen. Gemeente Montferland is ook geen enkele vergoeding schuldig aan inschrijvers voor het doen van een inschrijving. Dit geldt ook indien gemeente Montferland besluit niet tot verpachting over te gaan of als de procedure om welke reden dan </w:t>
      </w:r>
      <w:r w:rsidR="00D97A85">
        <w:t>o</w:t>
      </w:r>
      <w:r>
        <w:t>ok tussentijds wordt beëindigd. De pacht is pas definitief indien de pachtovereenkomst(en) door beide partijen rechtsgeldig is/zijn ondertekend.</w:t>
      </w:r>
    </w:p>
    <w:p w14:paraId="214160D8" w14:textId="77777777" w:rsidR="0059575B" w:rsidRDefault="0059575B" w:rsidP="0059575B">
      <w:pPr>
        <w:spacing w:before="0"/>
        <w:ind w:left="360"/>
      </w:pPr>
    </w:p>
    <w:p w14:paraId="642CF0D2" w14:textId="77777777" w:rsidR="00BD250D" w:rsidRDefault="00BD250D" w:rsidP="00BD250D">
      <w:pPr>
        <w:pStyle w:val="Lijstalinea"/>
        <w:numPr>
          <w:ilvl w:val="0"/>
          <w:numId w:val="3"/>
        </w:numPr>
        <w:spacing w:before="0"/>
        <w:rPr>
          <w:b/>
        </w:rPr>
      </w:pPr>
      <w:r>
        <w:rPr>
          <w:b/>
        </w:rPr>
        <w:t>Verklaring inschrijver</w:t>
      </w:r>
    </w:p>
    <w:p w14:paraId="2B1F8487" w14:textId="77777777" w:rsidR="00BD250D" w:rsidRDefault="0098126C" w:rsidP="00BD250D">
      <w:pPr>
        <w:spacing w:before="0"/>
        <w:ind w:left="360"/>
      </w:pPr>
      <w:r>
        <w:t>Door inschrijving en ondertekening verklaart inschrijver dat :</w:t>
      </w:r>
    </w:p>
    <w:p w14:paraId="732BF985" w14:textId="77777777" w:rsidR="0098126C" w:rsidRDefault="0098126C" w:rsidP="0098126C">
      <w:pPr>
        <w:pStyle w:val="Lijstalinea"/>
        <w:numPr>
          <w:ilvl w:val="0"/>
          <w:numId w:val="8"/>
        </w:numPr>
        <w:spacing w:before="0"/>
      </w:pPr>
      <w:r>
        <w:t>Hij volledig en zonder voorwaarden instemt met alle gestelde voorwaarden.</w:t>
      </w:r>
    </w:p>
    <w:p w14:paraId="79105248" w14:textId="77777777" w:rsidR="0098126C" w:rsidRDefault="0098126C" w:rsidP="0098126C">
      <w:pPr>
        <w:pStyle w:val="Lijstalinea"/>
        <w:numPr>
          <w:ilvl w:val="0"/>
          <w:numId w:val="8"/>
        </w:numPr>
        <w:spacing w:before="0"/>
      </w:pPr>
      <w:r>
        <w:t>Hij zijn inschrijving integraal en onvoorwaardelijk gestand doet tot uiterlijk 48 uur na de sluiting van de inschrijving. In het geval deze termijn eindigt, geldt de eerstvolgende werkdag uiterlijk 12:00 uur.</w:t>
      </w:r>
    </w:p>
    <w:p w14:paraId="023194D0" w14:textId="77777777" w:rsidR="0098126C" w:rsidRDefault="0098126C" w:rsidP="0098126C">
      <w:pPr>
        <w:pStyle w:val="Lijstalinea"/>
        <w:numPr>
          <w:ilvl w:val="0"/>
          <w:numId w:val="8"/>
        </w:numPr>
        <w:spacing w:before="0"/>
      </w:pPr>
      <w:r>
        <w:t>Hij niet in staat van faillissement of liquidatie verkeert, zijn bedrijfsmatige werkzaamheden niet zijn gestaakt, jegens hem geen surseance van betaling geldt en dat hij niet in een andere vergelijkbare toestand verkeert ingevolge een soortgelijke procedure die voortkomt in de op hem van toepassing zijnde wet-of regelgeving van een lidstaat van de Europese Unie.</w:t>
      </w:r>
    </w:p>
    <w:p w14:paraId="43269E65" w14:textId="77777777" w:rsidR="0098126C" w:rsidRPr="00BD250D" w:rsidRDefault="0098126C" w:rsidP="0098126C">
      <w:pPr>
        <w:pStyle w:val="Lijstalinea"/>
        <w:numPr>
          <w:ilvl w:val="0"/>
          <w:numId w:val="8"/>
        </w:numPr>
        <w:spacing w:before="0"/>
      </w:pPr>
      <w:r>
        <w:t xml:space="preserve">Hij ten tijde van de uitvoering van de opdracht zal voldoen aan de vereisten van BW titel 7.5 (pacht) door als hoofdberoep agrariër te hebben. Er moet sprake zijn van </w:t>
      </w:r>
      <w:r w:rsidRPr="0005573E">
        <w:rPr>
          <w:b/>
          <w:bCs/>
        </w:rPr>
        <w:t>bedrijfsmatige</w:t>
      </w:r>
      <w:r>
        <w:t xml:space="preserve"> </w:t>
      </w:r>
      <w:r w:rsidRPr="001742F4">
        <w:rPr>
          <w:b/>
          <w:bCs/>
        </w:rPr>
        <w:t>landbouw</w:t>
      </w:r>
      <w:r>
        <w:t>.</w:t>
      </w:r>
    </w:p>
    <w:p w14:paraId="3B975053" w14:textId="77777777" w:rsidR="00BD250D" w:rsidRDefault="00BD250D" w:rsidP="0059575B">
      <w:pPr>
        <w:spacing w:before="0"/>
        <w:ind w:left="360"/>
      </w:pPr>
    </w:p>
    <w:p w14:paraId="36F16382" w14:textId="77777777" w:rsidR="00406463" w:rsidRDefault="0098126C" w:rsidP="00406463">
      <w:pPr>
        <w:spacing w:before="0"/>
        <w:ind w:left="360"/>
      </w:pPr>
      <w:r>
        <w:t>Voor nadere informatie kunt u contact opnemen met:</w:t>
      </w:r>
    </w:p>
    <w:p w14:paraId="65834685" w14:textId="77777777" w:rsidR="0098126C" w:rsidRDefault="0098126C" w:rsidP="00406463">
      <w:pPr>
        <w:spacing w:before="0"/>
        <w:ind w:left="360"/>
      </w:pPr>
    </w:p>
    <w:p w14:paraId="7835436A" w14:textId="77777777" w:rsidR="0098126C" w:rsidRDefault="0098126C" w:rsidP="00406463">
      <w:pPr>
        <w:spacing w:before="0"/>
        <w:ind w:left="360"/>
      </w:pPr>
      <w:r>
        <w:t>Gemeente Montferland</w:t>
      </w:r>
    </w:p>
    <w:p w14:paraId="2E683750" w14:textId="311B0C7C" w:rsidR="0098126C" w:rsidRDefault="0098126C" w:rsidP="00406463">
      <w:pPr>
        <w:spacing w:before="0"/>
        <w:ind w:left="360"/>
      </w:pPr>
      <w:r>
        <w:t>Contactpersoon mevrouw A. Sanchez</w:t>
      </w:r>
      <w:r w:rsidR="00D21FA9">
        <w:t xml:space="preserve"> Leon</w:t>
      </w:r>
    </w:p>
    <w:p w14:paraId="07D9F134" w14:textId="36221CFB" w:rsidR="001C528D" w:rsidRPr="008657DF" w:rsidRDefault="0098126C" w:rsidP="00406463">
      <w:pPr>
        <w:spacing w:before="0"/>
        <w:ind w:left="360"/>
        <w:rPr>
          <w:lang w:val="de-DE"/>
        </w:rPr>
      </w:pPr>
      <w:proofErr w:type="spellStart"/>
      <w:r w:rsidRPr="008657DF">
        <w:rPr>
          <w:lang w:val="de-DE"/>
        </w:rPr>
        <w:t>E-mail</w:t>
      </w:r>
      <w:proofErr w:type="spellEnd"/>
      <w:r w:rsidRPr="008657DF">
        <w:rPr>
          <w:lang w:val="de-DE"/>
        </w:rPr>
        <w:t xml:space="preserve"> </w:t>
      </w:r>
      <w:hyperlink r:id="rId9" w:history="1">
        <w:r w:rsidR="001C528D" w:rsidRPr="00065AC4">
          <w:rPr>
            <w:rStyle w:val="Hyperlink"/>
            <w:lang w:val="de-DE"/>
          </w:rPr>
          <w:t>gemeente@montferland.info</w:t>
        </w:r>
      </w:hyperlink>
      <w:r w:rsidR="001C528D">
        <w:rPr>
          <w:lang w:val="de-DE"/>
        </w:rPr>
        <w:t>.</w:t>
      </w:r>
    </w:p>
    <w:p w14:paraId="0C44DE25" w14:textId="77777777" w:rsidR="0098126C" w:rsidRPr="008657DF" w:rsidRDefault="0098126C" w:rsidP="00406463">
      <w:pPr>
        <w:spacing w:before="0"/>
        <w:ind w:left="360"/>
        <w:rPr>
          <w:lang w:val="de-DE"/>
        </w:rPr>
      </w:pPr>
    </w:p>
    <w:p w14:paraId="490AEFB5" w14:textId="77777777" w:rsidR="0098126C" w:rsidRDefault="0098126C" w:rsidP="00406463">
      <w:pPr>
        <w:spacing w:before="0"/>
        <w:ind w:left="360"/>
      </w:pPr>
      <w:r>
        <w:t>Deze informatie is met de grootst mogelijke zorg samengesteld.</w:t>
      </w:r>
    </w:p>
    <w:p w14:paraId="439ACA6C" w14:textId="77777777" w:rsidR="0098126C" w:rsidRPr="00406463" w:rsidRDefault="0098126C" w:rsidP="00406463">
      <w:pPr>
        <w:spacing w:before="0"/>
        <w:ind w:left="360"/>
      </w:pPr>
      <w:r>
        <w:t>Mochten er desalniettemin onjuistheden worden geconstateerd, dan kunnen daaraan geen rechten worden ontleend.</w:t>
      </w:r>
    </w:p>
    <w:sectPr w:rsidR="0098126C" w:rsidRPr="00406463" w:rsidSect="0082265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FA38" w14:textId="77777777" w:rsidR="00D24A71" w:rsidRDefault="00D24A71" w:rsidP="000A3427">
      <w:pPr>
        <w:spacing w:before="0" w:line="240" w:lineRule="auto"/>
      </w:pPr>
      <w:r>
        <w:separator/>
      </w:r>
    </w:p>
  </w:endnote>
  <w:endnote w:type="continuationSeparator" w:id="0">
    <w:p w14:paraId="0C945189" w14:textId="77777777" w:rsidR="00D24A71" w:rsidRDefault="00D24A71" w:rsidP="000A342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597A" w14:textId="77777777" w:rsidR="00EC0161" w:rsidRDefault="00EC01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C7C1" w14:textId="77777777" w:rsidR="00EC0161" w:rsidRDefault="00EC01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5270" w14:textId="77777777" w:rsidR="00EC0161" w:rsidRDefault="00EC01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CDEEE" w14:textId="77777777" w:rsidR="00D24A71" w:rsidRDefault="00D24A71" w:rsidP="000A3427">
      <w:pPr>
        <w:spacing w:before="0" w:line="240" w:lineRule="auto"/>
      </w:pPr>
      <w:r>
        <w:separator/>
      </w:r>
    </w:p>
  </w:footnote>
  <w:footnote w:type="continuationSeparator" w:id="0">
    <w:p w14:paraId="31F90318" w14:textId="77777777" w:rsidR="00D24A71" w:rsidRDefault="00D24A71" w:rsidP="000A342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82FB" w14:textId="77777777" w:rsidR="00EC0161" w:rsidRDefault="00EC01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CADB" w14:textId="77777777" w:rsidR="00EC0161" w:rsidRDefault="00EC01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C52F" w14:textId="65F284A9" w:rsidR="00822657" w:rsidRDefault="008226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DE7"/>
    <w:multiLevelType w:val="hybridMultilevel"/>
    <w:tmpl w:val="31F630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7D0CCC"/>
    <w:multiLevelType w:val="hybridMultilevel"/>
    <w:tmpl w:val="43D834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2F0849"/>
    <w:multiLevelType w:val="hybridMultilevel"/>
    <w:tmpl w:val="D8607D9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EB4DFB"/>
    <w:multiLevelType w:val="hybridMultilevel"/>
    <w:tmpl w:val="D068D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B1C056D"/>
    <w:multiLevelType w:val="hybridMultilevel"/>
    <w:tmpl w:val="D64CA2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D3A1B5A"/>
    <w:multiLevelType w:val="hybridMultilevel"/>
    <w:tmpl w:val="883003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2C364D0"/>
    <w:multiLevelType w:val="hybridMultilevel"/>
    <w:tmpl w:val="2B4426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533051"/>
    <w:multiLevelType w:val="hybridMultilevel"/>
    <w:tmpl w:val="9BEC3586"/>
    <w:lvl w:ilvl="0" w:tplc="5FA2324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2248655">
    <w:abstractNumId w:val="2"/>
  </w:num>
  <w:num w:numId="2" w16cid:durableId="1520311118">
    <w:abstractNumId w:val="1"/>
  </w:num>
  <w:num w:numId="3" w16cid:durableId="670451144">
    <w:abstractNumId w:val="6"/>
  </w:num>
  <w:num w:numId="4" w16cid:durableId="1359425781">
    <w:abstractNumId w:val="0"/>
  </w:num>
  <w:num w:numId="5" w16cid:durableId="36852917">
    <w:abstractNumId w:val="5"/>
  </w:num>
  <w:num w:numId="6" w16cid:durableId="1513377574">
    <w:abstractNumId w:val="3"/>
  </w:num>
  <w:num w:numId="7" w16cid:durableId="113788174">
    <w:abstractNumId w:val="7"/>
  </w:num>
  <w:num w:numId="8" w16cid:durableId="662316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27"/>
    <w:rsid w:val="00040F51"/>
    <w:rsid w:val="0005573E"/>
    <w:rsid w:val="0008781E"/>
    <w:rsid w:val="00092152"/>
    <w:rsid w:val="000A3427"/>
    <w:rsid w:val="000F195E"/>
    <w:rsid w:val="001742F4"/>
    <w:rsid w:val="001939B7"/>
    <w:rsid w:val="001A0E3D"/>
    <w:rsid w:val="001A29B1"/>
    <w:rsid w:val="001C528D"/>
    <w:rsid w:val="001C5F45"/>
    <w:rsid w:val="001C6482"/>
    <w:rsid w:val="001F08F5"/>
    <w:rsid w:val="001F4BAF"/>
    <w:rsid w:val="0022085C"/>
    <w:rsid w:val="00244E2C"/>
    <w:rsid w:val="0029330B"/>
    <w:rsid w:val="002C096E"/>
    <w:rsid w:val="002D3BAF"/>
    <w:rsid w:val="002F20D9"/>
    <w:rsid w:val="00327838"/>
    <w:rsid w:val="003304AA"/>
    <w:rsid w:val="004032F2"/>
    <w:rsid w:val="00406463"/>
    <w:rsid w:val="004254D5"/>
    <w:rsid w:val="0045556E"/>
    <w:rsid w:val="0047337C"/>
    <w:rsid w:val="00476C44"/>
    <w:rsid w:val="004831B8"/>
    <w:rsid w:val="004A7FF4"/>
    <w:rsid w:val="00506BAB"/>
    <w:rsid w:val="00547D49"/>
    <w:rsid w:val="005663A8"/>
    <w:rsid w:val="005678EF"/>
    <w:rsid w:val="00584C9A"/>
    <w:rsid w:val="005950AF"/>
    <w:rsid w:val="0059575B"/>
    <w:rsid w:val="005A3E96"/>
    <w:rsid w:val="005C77DA"/>
    <w:rsid w:val="005F032E"/>
    <w:rsid w:val="005F3A59"/>
    <w:rsid w:val="006145E1"/>
    <w:rsid w:val="00676D4D"/>
    <w:rsid w:val="00695578"/>
    <w:rsid w:val="00697216"/>
    <w:rsid w:val="006C1208"/>
    <w:rsid w:val="006E771D"/>
    <w:rsid w:val="007337B7"/>
    <w:rsid w:val="007641A1"/>
    <w:rsid w:val="00781692"/>
    <w:rsid w:val="00794B56"/>
    <w:rsid w:val="0079505F"/>
    <w:rsid w:val="007B2742"/>
    <w:rsid w:val="007E79C3"/>
    <w:rsid w:val="007F00DF"/>
    <w:rsid w:val="00822657"/>
    <w:rsid w:val="00823E96"/>
    <w:rsid w:val="0082602D"/>
    <w:rsid w:val="008317A5"/>
    <w:rsid w:val="008657DF"/>
    <w:rsid w:val="008A7196"/>
    <w:rsid w:val="00952934"/>
    <w:rsid w:val="009633B7"/>
    <w:rsid w:val="00966675"/>
    <w:rsid w:val="0098126C"/>
    <w:rsid w:val="009A5CFC"/>
    <w:rsid w:val="00A1709E"/>
    <w:rsid w:val="00A22E1A"/>
    <w:rsid w:val="00A35516"/>
    <w:rsid w:val="00A80145"/>
    <w:rsid w:val="00A8079A"/>
    <w:rsid w:val="00AD73CB"/>
    <w:rsid w:val="00AE317B"/>
    <w:rsid w:val="00B27516"/>
    <w:rsid w:val="00B55341"/>
    <w:rsid w:val="00B70EF2"/>
    <w:rsid w:val="00B77D2E"/>
    <w:rsid w:val="00B93C76"/>
    <w:rsid w:val="00BB248D"/>
    <w:rsid w:val="00BD250D"/>
    <w:rsid w:val="00BD6A89"/>
    <w:rsid w:val="00BE6625"/>
    <w:rsid w:val="00C470D0"/>
    <w:rsid w:val="00C55C45"/>
    <w:rsid w:val="00C96CD8"/>
    <w:rsid w:val="00CA7CF3"/>
    <w:rsid w:val="00D21FA9"/>
    <w:rsid w:val="00D24A71"/>
    <w:rsid w:val="00D412F6"/>
    <w:rsid w:val="00D97A85"/>
    <w:rsid w:val="00E020F7"/>
    <w:rsid w:val="00E54623"/>
    <w:rsid w:val="00E66689"/>
    <w:rsid w:val="00EC0161"/>
    <w:rsid w:val="00ED024F"/>
    <w:rsid w:val="00EE555D"/>
    <w:rsid w:val="00F01554"/>
    <w:rsid w:val="00F1678D"/>
    <w:rsid w:val="00F47AF6"/>
    <w:rsid w:val="00F87ED3"/>
    <w:rsid w:val="00FC0960"/>
    <w:rsid w:val="00FC15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C6244"/>
  <w15:chartTrackingRefBased/>
  <w15:docId w15:val="{B27B3262-D87A-47F4-AAAE-7801B969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before="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0EF2"/>
    <w:rPr>
      <w:rFonts w:ascii="Verdana" w:hAnsi="Verdana"/>
      <w:sz w:val="18"/>
    </w:rPr>
  </w:style>
  <w:style w:type="paragraph" w:styleId="Kop1">
    <w:name w:val="heading 1"/>
    <w:basedOn w:val="Standaard"/>
    <w:next w:val="Standaard"/>
    <w:link w:val="Kop1Char"/>
    <w:uiPriority w:val="9"/>
    <w:qFormat/>
    <w:rsid w:val="00B70EF2"/>
    <w:pPr>
      <w:keepNext/>
      <w:keepLines/>
      <w:outlineLvl w:val="0"/>
    </w:pPr>
    <w:rPr>
      <w:rFonts w:asciiTheme="majorHAnsi" w:eastAsiaTheme="majorEastAsia" w:hAnsiTheme="majorHAnsi" w:cstheme="majorBidi"/>
      <w:color w:val="2E74B5" w:themeColor="accent1" w:themeShade="BF"/>
      <w:sz w:val="28"/>
      <w:szCs w:val="32"/>
    </w:rPr>
  </w:style>
  <w:style w:type="paragraph" w:styleId="Kop2">
    <w:name w:val="heading 2"/>
    <w:basedOn w:val="Standaard"/>
    <w:next w:val="Standaard"/>
    <w:link w:val="Kop2Char"/>
    <w:uiPriority w:val="9"/>
    <w:unhideWhenUsed/>
    <w:qFormat/>
    <w:rsid w:val="00B70EF2"/>
    <w:pPr>
      <w:keepNext/>
      <w:keepLines/>
      <w:spacing w:before="40"/>
      <w:outlineLvl w:val="1"/>
    </w:pPr>
    <w:rPr>
      <w:rFonts w:asciiTheme="majorHAnsi" w:eastAsiaTheme="majorEastAsia" w:hAnsiTheme="majorHAnsi" w:cstheme="majorBidi"/>
      <w:b/>
      <w:color w:val="2E74B5" w:themeColor="accent1" w:themeShade="BF"/>
      <w:szCs w:val="26"/>
    </w:rPr>
  </w:style>
  <w:style w:type="paragraph" w:styleId="Kop3">
    <w:name w:val="heading 3"/>
    <w:basedOn w:val="Standaard"/>
    <w:next w:val="Standaard"/>
    <w:link w:val="Kop3Char"/>
    <w:uiPriority w:val="9"/>
    <w:unhideWhenUsed/>
    <w:qFormat/>
    <w:rsid w:val="00B70EF2"/>
    <w:pPr>
      <w:keepNext/>
      <w:keepLines/>
      <w:spacing w:before="40"/>
      <w:outlineLvl w:val="2"/>
    </w:pPr>
    <w:rPr>
      <w:rFonts w:asciiTheme="majorHAnsi" w:eastAsiaTheme="majorEastAsia" w:hAnsiTheme="majorHAnsi" w:cstheme="majorBidi"/>
      <w:i/>
      <w:color w:val="1F4D78" w:themeColor="accent1" w:themeShade="7F"/>
      <w:szCs w:val="24"/>
    </w:rPr>
  </w:style>
  <w:style w:type="paragraph" w:styleId="Kop4">
    <w:name w:val="heading 4"/>
    <w:basedOn w:val="Standaard"/>
    <w:next w:val="Standaard"/>
    <w:link w:val="Kop4Char"/>
    <w:uiPriority w:val="9"/>
    <w:unhideWhenUsed/>
    <w:qFormat/>
    <w:rsid w:val="00B70EF2"/>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B70EF2"/>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unhideWhenUsed/>
    <w:qFormat/>
    <w:rsid w:val="00B70EF2"/>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0EF2"/>
    <w:rPr>
      <w:rFonts w:asciiTheme="majorHAnsi" w:eastAsiaTheme="majorEastAsia" w:hAnsiTheme="majorHAnsi" w:cstheme="majorBidi"/>
      <w:color w:val="2E74B5" w:themeColor="accent1" w:themeShade="BF"/>
      <w:sz w:val="28"/>
      <w:szCs w:val="32"/>
    </w:rPr>
  </w:style>
  <w:style w:type="character" w:customStyle="1" w:styleId="Kop2Char">
    <w:name w:val="Kop 2 Char"/>
    <w:basedOn w:val="Standaardalinea-lettertype"/>
    <w:link w:val="Kop2"/>
    <w:uiPriority w:val="9"/>
    <w:rsid w:val="00B70EF2"/>
    <w:rPr>
      <w:rFonts w:asciiTheme="majorHAnsi" w:eastAsiaTheme="majorEastAsia" w:hAnsiTheme="majorHAnsi" w:cstheme="majorBidi"/>
      <w:b/>
      <w:color w:val="2E74B5" w:themeColor="accent1" w:themeShade="BF"/>
      <w:sz w:val="18"/>
      <w:szCs w:val="26"/>
    </w:rPr>
  </w:style>
  <w:style w:type="character" w:customStyle="1" w:styleId="Kop3Char">
    <w:name w:val="Kop 3 Char"/>
    <w:basedOn w:val="Standaardalinea-lettertype"/>
    <w:link w:val="Kop3"/>
    <w:uiPriority w:val="9"/>
    <w:rsid w:val="00B70EF2"/>
    <w:rPr>
      <w:rFonts w:asciiTheme="majorHAnsi" w:eastAsiaTheme="majorEastAsia" w:hAnsiTheme="majorHAnsi" w:cstheme="majorBidi"/>
      <w:i/>
      <w:color w:val="1F4D78" w:themeColor="accent1" w:themeShade="7F"/>
      <w:sz w:val="18"/>
      <w:szCs w:val="24"/>
    </w:rPr>
  </w:style>
  <w:style w:type="paragraph" w:styleId="Geenafstand">
    <w:name w:val="No Spacing"/>
    <w:uiPriority w:val="1"/>
    <w:qFormat/>
    <w:rsid w:val="002C096E"/>
    <w:pPr>
      <w:spacing w:line="240" w:lineRule="auto"/>
    </w:pPr>
  </w:style>
  <w:style w:type="character" w:customStyle="1" w:styleId="Kop4Char">
    <w:name w:val="Kop 4 Char"/>
    <w:basedOn w:val="Standaardalinea-lettertype"/>
    <w:link w:val="Kop4"/>
    <w:uiPriority w:val="9"/>
    <w:rsid w:val="00B70EF2"/>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B70EF2"/>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rsid w:val="00B70EF2"/>
    <w:rPr>
      <w:rFonts w:asciiTheme="majorHAnsi" w:eastAsiaTheme="majorEastAsia" w:hAnsiTheme="majorHAnsi" w:cstheme="majorBidi"/>
      <w:color w:val="1F4D78" w:themeColor="accent1" w:themeShade="7F"/>
    </w:rPr>
  </w:style>
  <w:style w:type="paragraph" w:styleId="Koptekst">
    <w:name w:val="header"/>
    <w:basedOn w:val="Standaard"/>
    <w:link w:val="KoptekstChar"/>
    <w:uiPriority w:val="99"/>
    <w:unhideWhenUsed/>
    <w:rsid w:val="000A3427"/>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A3427"/>
    <w:rPr>
      <w:rFonts w:ascii="Verdana" w:hAnsi="Verdana"/>
      <w:sz w:val="18"/>
    </w:rPr>
  </w:style>
  <w:style w:type="paragraph" w:styleId="Voettekst">
    <w:name w:val="footer"/>
    <w:basedOn w:val="Standaard"/>
    <w:link w:val="VoettekstChar"/>
    <w:uiPriority w:val="99"/>
    <w:unhideWhenUsed/>
    <w:rsid w:val="000A3427"/>
    <w:pPr>
      <w:tabs>
        <w:tab w:val="center" w:pos="4536"/>
        <w:tab w:val="right" w:pos="9072"/>
      </w:tabs>
      <w:spacing w:before="0" w:line="240" w:lineRule="auto"/>
    </w:pPr>
  </w:style>
  <w:style w:type="character" w:customStyle="1" w:styleId="VoettekstChar">
    <w:name w:val="Voettekst Char"/>
    <w:basedOn w:val="Standaardalinea-lettertype"/>
    <w:link w:val="Voettekst"/>
    <w:uiPriority w:val="99"/>
    <w:rsid w:val="000A3427"/>
    <w:rPr>
      <w:rFonts w:ascii="Verdana" w:hAnsi="Verdana"/>
      <w:sz w:val="18"/>
    </w:rPr>
  </w:style>
  <w:style w:type="paragraph" w:styleId="Lijstalinea">
    <w:name w:val="List Paragraph"/>
    <w:basedOn w:val="Standaard"/>
    <w:uiPriority w:val="34"/>
    <w:qFormat/>
    <w:rsid w:val="0045556E"/>
    <w:pPr>
      <w:ind w:left="720"/>
      <w:contextualSpacing/>
    </w:pPr>
  </w:style>
  <w:style w:type="character" w:styleId="Hyperlink">
    <w:name w:val="Hyperlink"/>
    <w:basedOn w:val="Standaardalinea-lettertype"/>
    <w:uiPriority w:val="99"/>
    <w:unhideWhenUsed/>
    <w:rsid w:val="00A22E1A"/>
    <w:rPr>
      <w:color w:val="0563C1" w:themeColor="hyperlink"/>
      <w:u w:val="single"/>
    </w:rPr>
  </w:style>
  <w:style w:type="paragraph" w:styleId="Ballontekst">
    <w:name w:val="Balloon Text"/>
    <w:basedOn w:val="Standaard"/>
    <w:link w:val="BallontekstChar"/>
    <w:uiPriority w:val="99"/>
    <w:semiHidden/>
    <w:unhideWhenUsed/>
    <w:rsid w:val="00B55341"/>
    <w:pPr>
      <w:spacing w:before="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55341"/>
    <w:rPr>
      <w:rFonts w:ascii="Segoe UI" w:hAnsi="Segoe UI" w:cs="Segoe UI"/>
      <w:sz w:val="18"/>
      <w:szCs w:val="18"/>
    </w:rPr>
  </w:style>
  <w:style w:type="character" w:styleId="Onopgelostemelding">
    <w:name w:val="Unresolved Mention"/>
    <w:basedOn w:val="Standaardalinea-lettertype"/>
    <w:uiPriority w:val="99"/>
    <w:semiHidden/>
    <w:unhideWhenUsed/>
    <w:rsid w:val="001C5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ferland.info/uitgifte-onroerend-goe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meente@montferland.info"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angepast 1">
      <a:majorFont>
        <a:latin typeface="Verdana"/>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A1C94-A726-4A95-8EE5-B47620DB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6379</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de Witte</dc:creator>
  <cp:keywords/>
  <dc:description/>
  <cp:lastModifiedBy>Antoinette Sanchez</cp:lastModifiedBy>
  <cp:revision>5</cp:revision>
  <cp:lastPrinted>2022-10-27T09:35:00Z</cp:lastPrinted>
  <dcterms:created xsi:type="dcterms:W3CDTF">2025-12-12T07:51:00Z</dcterms:created>
  <dcterms:modified xsi:type="dcterms:W3CDTF">2025-12-16T10:48:00Z</dcterms:modified>
</cp:coreProperties>
</file>